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99AA" w14:textId="77777777" w:rsidR="00B34E47" w:rsidRDefault="00B34E47" w:rsidP="00B34E47">
      <w:pPr>
        <w:jc w:val="center"/>
        <w:rPr>
          <w:b/>
          <w:bCs/>
        </w:rPr>
      </w:pPr>
      <w:r>
        <w:rPr>
          <w:b/>
          <w:bCs/>
          <w:noProof/>
        </w:rPr>
        <w:drawing>
          <wp:inline distT="0" distB="0" distL="0" distR="0" wp14:anchorId="50F37CAF" wp14:editId="04121841">
            <wp:extent cx="2623930" cy="1311965"/>
            <wp:effectExtent l="0" t="0" r="5080" b="2540"/>
            <wp:docPr id="1594588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88474" name="Picture 15945884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5995" cy="1317997"/>
                    </a:xfrm>
                    <a:prstGeom prst="rect">
                      <a:avLst/>
                    </a:prstGeom>
                  </pic:spPr>
                </pic:pic>
              </a:graphicData>
            </a:graphic>
          </wp:inline>
        </w:drawing>
      </w:r>
    </w:p>
    <w:p w14:paraId="24D1EB57" w14:textId="239D22F1" w:rsidR="00716434" w:rsidRPr="00716434" w:rsidRDefault="00716434" w:rsidP="00716434">
      <w:pPr>
        <w:jc w:val="center"/>
        <w:rPr>
          <w:b/>
          <w:bCs/>
          <w:sz w:val="32"/>
          <w:szCs w:val="32"/>
        </w:rPr>
      </w:pPr>
      <w:r>
        <w:rPr>
          <w:b/>
          <w:bCs/>
          <w:sz w:val="32"/>
          <w:szCs w:val="32"/>
        </w:rPr>
        <w:t>Electrification remains the best opportunity to lower total energy bills for households</w:t>
      </w:r>
    </w:p>
    <w:p w14:paraId="01181D27" w14:textId="70ADB81D" w:rsidR="00716434" w:rsidRPr="00716434" w:rsidRDefault="00716434" w:rsidP="00716434">
      <w:pPr>
        <w:jc w:val="both"/>
        <w:rPr>
          <w:sz w:val="24"/>
          <w:szCs w:val="24"/>
        </w:rPr>
      </w:pPr>
      <w:r w:rsidRPr="00716434">
        <w:rPr>
          <w:sz w:val="24"/>
          <w:szCs w:val="24"/>
        </w:rPr>
        <w:t xml:space="preserve">Following the publication by Eurostat of electricity prices both for household and non-household consumers in the European Union (EU) for the last 6 months of 2025 it is evident that the price of energy in the EU depends on a range of different supply and demand conditions. This includes the national energy mix, import diversification, network costs and </w:t>
      </w:r>
      <w:proofErr w:type="gramStart"/>
      <w:r w:rsidRPr="00716434">
        <w:rPr>
          <w:sz w:val="24"/>
          <w:szCs w:val="24"/>
        </w:rPr>
        <w:t>the  levels</w:t>
      </w:r>
      <w:proofErr w:type="gramEnd"/>
      <w:r w:rsidRPr="00716434">
        <w:rPr>
          <w:sz w:val="24"/>
          <w:szCs w:val="24"/>
        </w:rPr>
        <w:t xml:space="preserve"> of regulatory costs, excise and taxation. </w:t>
      </w:r>
    </w:p>
    <w:p w14:paraId="7F939BD3" w14:textId="66068B86" w:rsidR="00716434" w:rsidRPr="00716434" w:rsidRDefault="00716434" w:rsidP="00716434">
      <w:pPr>
        <w:jc w:val="both"/>
        <w:rPr>
          <w:sz w:val="24"/>
          <w:szCs w:val="24"/>
        </w:rPr>
      </w:pPr>
      <w:r w:rsidRPr="00716434">
        <w:rPr>
          <w:sz w:val="24"/>
          <w:szCs w:val="24"/>
        </w:rPr>
        <w:t xml:space="preserve">While electricity prices have increased in most EU countries for 2025 compared to 2024, Eurostat stated that for medium-sized household consumers with an annual consumption between 2 500 Kilowatt-hours (kWh) and 5 000 kWh), electricity prices in the second half of 2025 were highest in Ireland (€0.4042 per kWh). This was about 1.5c above the next highest country Germany. </w:t>
      </w:r>
    </w:p>
    <w:p w14:paraId="6251B608" w14:textId="5B983FE6" w:rsidR="00716434" w:rsidRPr="00716434" w:rsidRDefault="00716434" w:rsidP="00716434">
      <w:pPr>
        <w:jc w:val="both"/>
        <w:rPr>
          <w:sz w:val="24"/>
          <w:szCs w:val="24"/>
        </w:rPr>
      </w:pPr>
      <w:r w:rsidRPr="00716434">
        <w:rPr>
          <w:sz w:val="24"/>
          <w:szCs w:val="24"/>
        </w:rPr>
        <w:t xml:space="preserve">However, when </w:t>
      </w:r>
      <w:r w:rsidRPr="00716434">
        <w:rPr>
          <w:color w:val="EE0000"/>
          <w:sz w:val="24"/>
          <w:szCs w:val="24"/>
        </w:rPr>
        <w:t xml:space="preserve">‘purchasing power’ </w:t>
      </w:r>
      <w:r w:rsidRPr="00716434">
        <w:rPr>
          <w:sz w:val="24"/>
          <w:szCs w:val="24"/>
        </w:rPr>
        <w:t xml:space="preserve">is </w:t>
      </w:r>
      <w:proofErr w:type="gramStart"/>
      <w:r w:rsidRPr="00716434">
        <w:rPr>
          <w:sz w:val="24"/>
          <w:szCs w:val="24"/>
        </w:rPr>
        <w:t>considered,  Irish</w:t>
      </w:r>
      <w:proofErr w:type="gramEnd"/>
      <w:r w:rsidRPr="00716434">
        <w:rPr>
          <w:sz w:val="24"/>
          <w:szCs w:val="24"/>
        </w:rPr>
        <w:t xml:space="preserve"> household electricity prices drop to 5</w:t>
      </w:r>
      <w:r w:rsidRPr="00716434">
        <w:rPr>
          <w:sz w:val="24"/>
          <w:szCs w:val="24"/>
          <w:vertAlign w:val="superscript"/>
        </w:rPr>
        <w:t>th</w:t>
      </w:r>
      <w:r w:rsidRPr="00716434">
        <w:rPr>
          <w:sz w:val="24"/>
          <w:szCs w:val="24"/>
        </w:rPr>
        <w:t xml:space="preserve"> in the EU.</w:t>
      </w:r>
    </w:p>
    <w:p w14:paraId="55A88683" w14:textId="1138359B" w:rsidR="00716434" w:rsidRPr="00716434" w:rsidRDefault="00716434" w:rsidP="00716434">
      <w:pPr>
        <w:jc w:val="both"/>
        <w:rPr>
          <w:color w:val="EE0000"/>
          <w:sz w:val="24"/>
          <w:szCs w:val="24"/>
          <w:lang w:val="en-IE"/>
        </w:rPr>
      </w:pPr>
      <w:r w:rsidRPr="00716434">
        <w:rPr>
          <w:color w:val="EE0000"/>
          <w:sz w:val="24"/>
          <w:szCs w:val="24"/>
        </w:rPr>
        <w:t>Purchasing power takes account of differences in the cost of living between countries. That is how much it would cost to buy the exact same amount of goods, rather than simply comparing prices in euro. As a result, one euro does not have the same buying power across all Eurozone countries because the cost of goods and services varies significantly from country to country.</w:t>
      </w:r>
    </w:p>
    <w:p w14:paraId="71B28CDE" w14:textId="68601B13" w:rsidR="00716434" w:rsidRPr="00716434" w:rsidRDefault="00716434" w:rsidP="00716434">
      <w:pPr>
        <w:jc w:val="both"/>
        <w:rPr>
          <w:sz w:val="24"/>
          <w:szCs w:val="24"/>
        </w:rPr>
      </w:pPr>
      <w:r w:rsidRPr="00716434">
        <w:rPr>
          <w:sz w:val="24"/>
          <w:szCs w:val="24"/>
        </w:rPr>
        <w:t xml:space="preserve">Retail residential electricity prices usually consist of four main components: </w:t>
      </w:r>
      <w:r w:rsidRPr="00716434">
        <w:rPr>
          <w:b/>
          <w:bCs/>
          <w:sz w:val="24"/>
          <w:szCs w:val="24"/>
        </w:rPr>
        <w:t xml:space="preserve">energy costs; network expenses; government surcharges/taxes; and value added tax (VAT).  </w:t>
      </w:r>
      <w:r w:rsidRPr="00716434">
        <w:rPr>
          <w:sz w:val="24"/>
          <w:szCs w:val="24"/>
        </w:rPr>
        <w:t>The following sets out why these costs are higher in Ireland</w:t>
      </w:r>
    </w:p>
    <w:p w14:paraId="69D31250" w14:textId="77777777" w:rsidR="00716434" w:rsidRPr="00716434" w:rsidRDefault="00716434" w:rsidP="00716434">
      <w:pPr>
        <w:jc w:val="both"/>
        <w:rPr>
          <w:b/>
          <w:bCs/>
          <w:sz w:val="24"/>
          <w:szCs w:val="24"/>
        </w:rPr>
      </w:pPr>
      <w:r w:rsidRPr="00716434">
        <w:rPr>
          <w:b/>
          <w:bCs/>
          <w:sz w:val="24"/>
          <w:szCs w:val="24"/>
        </w:rPr>
        <w:t>Energy Costs in Ireland (50% of the bill)</w:t>
      </w:r>
    </w:p>
    <w:p w14:paraId="7F26EB1E" w14:textId="6F3A6BDE" w:rsidR="00716434" w:rsidRPr="00716434" w:rsidRDefault="00716434" w:rsidP="00716434">
      <w:pPr>
        <w:jc w:val="both"/>
        <w:rPr>
          <w:sz w:val="24"/>
          <w:szCs w:val="24"/>
        </w:rPr>
      </w:pPr>
      <w:r w:rsidRPr="00716434">
        <w:rPr>
          <w:sz w:val="24"/>
          <w:szCs w:val="24"/>
        </w:rPr>
        <w:t xml:space="preserve">Ireland uses gas to generate 50% of its energy and imports 70% of its gas. The wholesale price of gas in Ireland </w:t>
      </w:r>
      <w:r w:rsidR="00CB1BE2">
        <w:rPr>
          <w:sz w:val="24"/>
          <w:szCs w:val="24"/>
        </w:rPr>
        <w:t>is</w:t>
      </w:r>
      <w:r w:rsidRPr="00716434">
        <w:rPr>
          <w:sz w:val="24"/>
          <w:szCs w:val="24"/>
        </w:rPr>
        <w:t xml:space="preserve"> set by international markets plus the cost of transport to Ireland via the interconnectors. This dependency has increased the cost of electricity, with current gas prices over 3 times the price before the Russian invasion of Ukraine.</w:t>
      </w:r>
    </w:p>
    <w:p w14:paraId="1316D26A" w14:textId="77777777" w:rsidR="00716434" w:rsidRPr="00716434" w:rsidRDefault="00716434" w:rsidP="00716434">
      <w:pPr>
        <w:jc w:val="both"/>
        <w:rPr>
          <w:b/>
          <w:bCs/>
          <w:sz w:val="24"/>
          <w:szCs w:val="24"/>
        </w:rPr>
      </w:pPr>
      <w:r w:rsidRPr="00716434">
        <w:rPr>
          <w:b/>
          <w:bCs/>
          <w:sz w:val="24"/>
          <w:szCs w:val="24"/>
        </w:rPr>
        <w:t>Network costs (20-30% of the bill)</w:t>
      </w:r>
    </w:p>
    <w:p w14:paraId="39427A37" w14:textId="7E813043" w:rsidR="00716434" w:rsidRPr="00716434" w:rsidRDefault="00716434" w:rsidP="00716434">
      <w:pPr>
        <w:jc w:val="both"/>
        <w:rPr>
          <w:sz w:val="24"/>
          <w:szCs w:val="24"/>
        </w:rPr>
      </w:pPr>
      <w:r w:rsidRPr="00716434">
        <w:rPr>
          <w:sz w:val="24"/>
          <w:szCs w:val="24"/>
        </w:rPr>
        <w:t xml:space="preserve">These costs are required to keep the lights on with emergency generation, build and repair transmission wires and generation plants as well as connecting thousands of new homes. These costs are also used to keep the system balanced.  As the share of variable renewable </w:t>
      </w:r>
      <w:r w:rsidRPr="00716434">
        <w:rPr>
          <w:sz w:val="24"/>
          <w:szCs w:val="24"/>
        </w:rPr>
        <w:lastRenderedPageBreak/>
        <w:t>generation increases so too do the costs</w:t>
      </w:r>
      <w:r w:rsidR="007A1661">
        <w:rPr>
          <w:sz w:val="24"/>
          <w:szCs w:val="24"/>
        </w:rPr>
        <w:t xml:space="preserve"> to balance</w:t>
      </w:r>
      <w:r w:rsidRPr="00716434">
        <w:rPr>
          <w:sz w:val="24"/>
          <w:szCs w:val="24"/>
        </w:rPr>
        <w:t>.  Ireland has one of the most dispersed networks in Europe with one of the highest lengths of grid/person to maintain.</w:t>
      </w:r>
    </w:p>
    <w:p w14:paraId="46576C84" w14:textId="77777777" w:rsidR="00716434" w:rsidRPr="00716434" w:rsidRDefault="00716434" w:rsidP="00716434">
      <w:pPr>
        <w:jc w:val="both"/>
        <w:rPr>
          <w:b/>
          <w:bCs/>
          <w:sz w:val="24"/>
          <w:szCs w:val="24"/>
        </w:rPr>
      </w:pPr>
      <w:r w:rsidRPr="00716434">
        <w:rPr>
          <w:b/>
          <w:bCs/>
          <w:sz w:val="24"/>
          <w:szCs w:val="24"/>
        </w:rPr>
        <w:t>Government Surcharges, Taxes and VAT</w:t>
      </w:r>
    </w:p>
    <w:p w14:paraId="292B90D2" w14:textId="427C0288" w:rsidR="00716434" w:rsidRPr="00716434" w:rsidRDefault="00716434" w:rsidP="00716434">
      <w:pPr>
        <w:jc w:val="both"/>
        <w:rPr>
          <w:sz w:val="24"/>
          <w:szCs w:val="24"/>
        </w:rPr>
      </w:pPr>
      <w:r w:rsidRPr="00716434">
        <w:rPr>
          <w:sz w:val="24"/>
          <w:szCs w:val="24"/>
        </w:rPr>
        <w:t>The proportion of taxes and levies in the overall electricity retail price for Irish household consumers was one of the lowest in the EU. While the Public Service obligation (PSO) currently about €0.34/</w:t>
      </w:r>
      <w:proofErr w:type="spellStart"/>
      <w:r w:rsidRPr="00716434">
        <w:rPr>
          <w:sz w:val="24"/>
          <w:szCs w:val="24"/>
        </w:rPr>
        <w:t>wk</w:t>
      </w:r>
      <w:proofErr w:type="spellEnd"/>
      <w:r w:rsidRPr="00716434">
        <w:rPr>
          <w:sz w:val="24"/>
          <w:szCs w:val="24"/>
        </w:rPr>
        <w:t>/customer.) supports a growing renewable development.</w:t>
      </w:r>
    </w:p>
    <w:p w14:paraId="075FA401" w14:textId="77777777" w:rsidR="00716434" w:rsidRPr="00716434" w:rsidRDefault="00716434" w:rsidP="00716434">
      <w:pPr>
        <w:jc w:val="both"/>
        <w:rPr>
          <w:b/>
          <w:bCs/>
          <w:sz w:val="24"/>
          <w:szCs w:val="24"/>
        </w:rPr>
      </w:pPr>
      <w:r w:rsidRPr="00716434">
        <w:rPr>
          <w:b/>
          <w:bCs/>
          <w:sz w:val="24"/>
          <w:szCs w:val="24"/>
        </w:rPr>
        <w:t>Supplier costs</w:t>
      </w:r>
    </w:p>
    <w:p w14:paraId="1B1C8D0E" w14:textId="0B4029F7" w:rsidR="00716434" w:rsidRPr="00716434" w:rsidRDefault="00716434" w:rsidP="00716434">
      <w:pPr>
        <w:jc w:val="both"/>
        <w:rPr>
          <w:sz w:val="24"/>
          <w:szCs w:val="24"/>
          <w:lang w:val="en-IE"/>
        </w:rPr>
      </w:pPr>
      <w:r w:rsidRPr="00716434">
        <w:rPr>
          <w:sz w:val="24"/>
          <w:szCs w:val="24"/>
        </w:rPr>
        <w:t xml:space="preserve">Suppliers buy energy in advance, </w:t>
      </w:r>
      <w:proofErr w:type="gramStart"/>
      <w:r w:rsidRPr="00716434">
        <w:rPr>
          <w:sz w:val="24"/>
          <w:szCs w:val="24"/>
        </w:rPr>
        <w:t>and  use</w:t>
      </w:r>
      <w:proofErr w:type="gramEnd"/>
      <w:r w:rsidRPr="00716434">
        <w:rPr>
          <w:sz w:val="24"/>
          <w:szCs w:val="24"/>
        </w:rPr>
        <w:t xml:space="preserve"> hedging to reduce volatility and protect customers from the worst impacts. While hedging delays price increases </w:t>
      </w:r>
      <w:r w:rsidR="00375B36">
        <w:rPr>
          <w:sz w:val="24"/>
          <w:szCs w:val="24"/>
        </w:rPr>
        <w:t>it</w:t>
      </w:r>
      <w:r w:rsidRPr="00716434">
        <w:rPr>
          <w:sz w:val="24"/>
          <w:szCs w:val="24"/>
        </w:rPr>
        <w:t xml:space="preserve"> cannot avoid them.  Other Supplier costs have increased due to the roll out of SMART Meters, increased obligations for energy efficiency and increased regulatory requirements with Bad Debt carried by the sector estimated to be €150 million. Nearly 90% of the bill is collected by suppliers and passed on to system operators, public authorities, and generators.</w:t>
      </w:r>
    </w:p>
    <w:p w14:paraId="315C0377" w14:textId="77777777" w:rsidR="00716434" w:rsidRPr="00716434" w:rsidRDefault="00716434" w:rsidP="00716434">
      <w:pPr>
        <w:jc w:val="both"/>
        <w:rPr>
          <w:b/>
          <w:bCs/>
          <w:sz w:val="24"/>
          <w:szCs w:val="24"/>
        </w:rPr>
      </w:pPr>
      <w:r w:rsidRPr="00716434">
        <w:rPr>
          <w:b/>
          <w:bCs/>
          <w:sz w:val="24"/>
          <w:szCs w:val="24"/>
        </w:rPr>
        <w:t>Competition in the market</w:t>
      </w:r>
    </w:p>
    <w:p w14:paraId="6DECA5FF" w14:textId="60901680" w:rsidR="00716434" w:rsidRPr="00716434" w:rsidRDefault="00716434" w:rsidP="00716434">
      <w:pPr>
        <w:jc w:val="both"/>
        <w:rPr>
          <w:sz w:val="24"/>
          <w:szCs w:val="24"/>
          <w:lang w:val="en-IE"/>
        </w:rPr>
      </w:pPr>
      <w:r w:rsidRPr="00716434">
        <w:rPr>
          <w:sz w:val="24"/>
          <w:szCs w:val="24"/>
        </w:rPr>
        <w:t>While the cost of Electricity in Ireland is high, the electricity market remains very competitive prices vary with fixed and variable tariffs and cost savings for the customer to be had. The regulator for the sector has looked at the margins that electricity suppliers earn on two occasions over the last 8 years and on both occasions indicated that they were in line with their expectations.</w:t>
      </w:r>
    </w:p>
    <w:p w14:paraId="2AA911BD" w14:textId="77777777" w:rsidR="00716434" w:rsidRPr="00716434" w:rsidRDefault="00716434" w:rsidP="00716434">
      <w:pPr>
        <w:jc w:val="both"/>
        <w:rPr>
          <w:b/>
          <w:bCs/>
          <w:sz w:val="24"/>
          <w:szCs w:val="24"/>
        </w:rPr>
      </w:pPr>
      <w:r w:rsidRPr="00716434">
        <w:rPr>
          <w:b/>
          <w:bCs/>
          <w:sz w:val="24"/>
          <w:szCs w:val="24"/>
        </w:rPr>
        <w:t>Vulnerable Customers</w:t>
      </w:r>
    </w:p>
    <w:p w14:paraId="105389F1" w14:textId="74874021" w:rsidR="00716434" w:rsidRPr="00716434" w:rsidRDefault="00716434" w:rsidP="00716434">
      <w:pPr>
        <w:jc w:val="both"/>
        <w:rPr>
          <w:sz w:val="24"/>
          <w:szCs w:val="24"/>
        </w:rPr>
      </w:pPr>
      <w:r w:rsidRPr="00716434">
        <w:rPr>
          <w:sz w:val="24"/>
          <w:szCs w:val="24"/>
        </w:rPr>
        <w:t>When energy prices are high the priority must be vulnerable customers. As we move away from fossil fuels and toward electrification – supports should be focused on the electricity Bill. The Department of Social Protection has a role to play here with a credit option of electricity Bills, and maximum public funding for the warmer homes scheme.</w:t>
      </w:r>
    </w:p>
    <w:p w14:paraId="6FDF8EFB" w14:textId="77777777" w:rsidR="00716434" w:rsidRPr="00716434" w:rsidRDefault="00716434" w:rsidP="00716434">
      <w:pPr>
        <w:jc w:val="both"/>
        <w:rPr>
          <w:b/>
          <w:bCs/>
          <w:sz w:val="24"/>
          <w:szCs w:val="24"/>
        </w:rPr>
      </w:pPr>
      <w:r w:rsidRPr="00716434">
        <w:rPr>
          <w:b/>
          <w:bCs/>
          <w:sz w:val="24"/>
          <w:szCs w:val="24"/>
        </w:rPr>
        <w:t>The way forward</w:t>
      </w:r>
    </w:p>
    <w:p w14:paraId="6E7D285E" w14:textId="77777777" w:rsidR="00716434" w:rsidRPr="00716434" w:rsidRDefault="00716434" w:rsidP="00716434">
      <w:pPr>
        <w:jc w:val="both"/>
        <w:rPr>
          <w:sz w:val="24"/>
          <w:szCs w:val="24"/>
        </w:rPr>
      </w:pPr>
      <w:r w:rsidRPr="00716434">
        <w:rPr>
          <w:sz w:val="24"/>
          <w:szCs w:val="24"/>
        </w:rPr>
        <w:t xml:space="preserve">Electrification remains the best opportunity to lower total energy bills for households due to significant efficiency gains over car engines and oil boilers, while taking advantage of cheap nighttime electricity to power your home The most effective long-term solution to high energy prices is the rapid deployment of domestic renewable generation. alongside investment in networks, storage and system flexibility, which will reduce reliance on gas-fired generation and enhance Ireland’s energy security,  </w:t>
      </w:r>
    </w:p>
    <w:p w14:paraId="5282A1A6" w14:textId="77777777" w:rsidR="00716434" w:rsidRPr="00716434" w:rsidRDefault="00716434" w:rsidP="00716434">
      <w:pPr>
        <w:jc w:val="both"/>
        <w:rPr>
          <w:sz w:val="24"/>
          <w:szCs w:val="24"/>
        </w:rPr>
      </w:pPr>
    </w:p>
    <w:p w14:paraId="78802EC0" w14:textId="648DBA42" w:rsidR="00716434" w:rsidRDefault="00C4304E" w:rsidP="00716434">
      <w:pPr>
        <w:jc w:val="both"/>
        <w:rPr>
          <w:b/>
          <w:bCs/>
          <w:sz w:val="24"/>
          <w:szCs w:val="24"/>
        </w:rPr>
      </w:pPr>
      <w:r>
        <w:rPr>
          <w:b/>
          <w:bCs/>
          <w:sz w:val="24"/>
          <w:szCs w:val="24"/>
        </w:rPr>
        <w:t xml:space="preserve"> </w:t>
      </w:r>
    </w:p>
    <w:p w14:paraId="3237A702" w14:textId="77777777" w:rsidR="00C4304E" w:rsidRDefault="00C4304E" w:rsidP="00716434">
      <w:pPr>
        <w:jc w:val="both"/>
        <w:rPr>
          <w:b/>
          <w:bCs/>
          <w:sz w:val="24"/>
          <w:szCs w:val="24"/>
        </w:rPr>
      </w:pPr>
    </w:p>
    <w:p w14:paraId="7C6B5D4C" w14:textId="77777777" w:rsidR="00C4304E" w:rsidRDefault="00C4304E" w:rsidP="00716434">
      <w:pPr>
        <w:jc w:val="both"/>
        <w:rPr>
          <w:b/>
          <w:bCs/>
          <w:sz w:val="24"/>
          <w:szCs w:val="24"/>
        </w:rPr>
      </w:pPr>
    </w:p>
    <w:p w14:paraId="67D48323" w14:textId="77777777" w:rsidR="00C4304E" w:rsidRPr="00716434" w:rsidRDefault="00C4304E" w:rsidP="00716434">
      <w:pPr>
        <w:jc w:val="both"/>
        <w:rPr>
          <w:b/>
          <w:bCs/>
          <w:sz w:val="24"/>
          <w:szCs w:val="24"/>
          <w:lang w:val="en-IE"/>
        </w:rPr>
      </w:pPr>
    </w:p>
    <w:p w14:paraId="688E6698" w14:textId="77777777" w:rsidR="00716434" w:rsidRPr="00716434" w:rsidRDefault="00716434" w:rsidP="00716434">
      <w:pPr>
        <w:jc w:val="both"/>
        <w:rPr>
          <w:sz w:val="24"/>
          <w:szCs w:val="24"/>
        </w:rPr>
      </w:pPr>
    </w:p>
    <w:p w14:paraId="3A02D652" w14:textId="77777777" w:rsidR="00716434" w:rsidRPr="00716434" w:rsidRDefault="00716434" w:rsidP="00716434">
      <w:pPr>
        <w:jc w:val="both"/>
        <w:rPr>
          <w:b/>
          <w:bCs/>
          <w:sz w:val="24"/>
          <w:szCs w:val="24"/>
        </w:rPr>
      </w:pPr>
      <w:r w:rsidRPr="00716434">
        <w:rPr>
          <w:b/>
          <w:bCs/>
          <w:sz w:val="24"/>
          <w:szCs w:val="24"/>
        </w:rPr>
        <w:lastRenderedPageBreak/>
        <w:t>Source</w:t>
      </w:r>
    </w:p>
    <w:p w14:paraId="19E4E05B" w14:textId="77777777" w:rsidR="00716434" w:rsidRPr="00716434" w:rsidRDefault="00716434" w:rsidP="00716434">
      <w:pPr>
        <w:jc w:val="both"/>
        <w:rPr>
          <w:sz w:val="24"/>
          <w:szCs w:val="24"/>
        </w:rPr>
      </w:pPr>
    </w:p>
    <w:p w14:paraId="7C7FD15B" w14:textId="77777777" w:rsidR="00716434" w:rsidRPr="00716434" w:rsidRDefault="00716434" w:rsidP="00716434">
      <w:pPr>
        <w:jc w:val="both"/>
        <w:rPr>
          <w:sz w:val="24"/>
          <w:szCs w:val="24"/>
        </w:rPr>
      </w:pPr>
      <w:r w:rsidRPr="00716434">
        <w:rPr>
          <w:sz w:val="24"/>
          <w:szCs w:val="24"/>
        </w:rPr>
        <w:t>SEAI calculate the effective unit price of energy (the revenue collected for energy delivered, divided by the total quantity of energy delivered)</w:t>
      </w:r>
    </w:p>
    <w:p w14:paraId="4E8F8924" w14:textId="0D8E62A8" w:rsidR="00716434" w:rsidRDefault="00716434" w:rsidP="00716434">
      <w:r>
        <w:rPr>
          <w:noProof/>
        </w:rPr>
        <w:drawing>
          <wp:inline distT="0" distB="0" distL="0" distR="0" wp14:anchorId="5770B4B3" wp14:editId="5B49CAF5">
            <wp:extent cx="5731510" cy="2437130"/>
            <wp:effectExtent l="0" t="0" r="2540" b="1270"/>
            <wp:docPr id="95367153" name="Picture 4" descr="The image displays a chart detailing the projected changes in household electricity prices in Ireland from July to December 2025, showing various consumption bands and their respective percentage chan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image displays a chart detailing the projected changes in household electricity prices in Ireland from July to December 2025, showing various consumption bands and their respective percentage changes.&#10;&#10;AI-generated content may be incorrec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31510" cy="2437130"/>
                    </a:xfrm>
                    <a:prstGeom prst="rect">
                      <a:avLst/>
                    </a:prstGeom>
                    <a:noFill/>
                    <a:ln>
                      <a:noFill/>
                    </a:ln>
                  </pic:spPr>
                </pic:pic>
              </a:graphicData>
            </a:graphic>
          </wp:inline>
        </w:drawing>
      </w:r>
    </w:p>
    <w:p w14:paraId="5B9B814E" w14:textId="4657281E" w:rsidR="00BC2A52" w:rsidRPr="006A61E1" w:rsidRDefault="00716434" w:rsidP="00716434">
      <w:pPr>
        <w:spacing w:after="0" w:line="240" w:lineRule="auto"/>
        <w:textAlignment w:val="center"/>
      </w:pPr>
      <w:r>
        <w:rPr>
          <w:noProof/>
        </w:rPr>
        <w:drawing>
          <wp:inline distT="0" distB="0" distL="0" distR="0" wp14:anchorId="19D1179D" wp14:editId="346D2C50">
            <wp:extent cx="5731510" cy="1580515"/>
            <wp:effectExtent l="0" t="0" r="2540" b="635"/>
            <wp:docPr id="604270206" name="Picture 3" descr="The image displays a table comparing household electricity prices across various consumption bands in the EU, including price per kilowatt-hour (c/kWh) and purchasing power standards (PPS/kWh) for the year 2025.&#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image displays a table comparing household electricity prices across various consumption bands in the EU, including price per kilowatt-hour (c/kWh) and purchasing power standards (PPS/kWh) for the year 2025.&#10;&#10;AI-generated content may be incorrec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31510" cy="1580515"/>
                    </a:xfrm>
                    <a:prstGeom prst="rect">
                      <a:avLst/>
                    </a:prstGeom>
                    <a:noFill/>
                    <a:ln>
                      <a:noFill/>
                    </a:ln>
                  </pic:spPr>
                </pic:pic>
              </a:graphicData>
            </a:graphic>
          </wp:inline>
        </w:drawing>
      </w:r>
    </w:p>
    <w:sectPr w:rsidR="00BC2A52" w:rsidRPr="006A61E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D479" w14:textId="77777777" w:rsidR="006117F3" w:rsidRDefault="006117F3" w:rsidP="00D17BBF">
      <w:pPr>
        <w:spacing w:after="0" w:line="240" w:lineRule="auto"/>
      </w:pPr>
      <w:r>
        <w:separator/>
      </w:r>
    </w:p>
  </w:endnote>
  <w:endnote w:type="continuationSeparator" w:id="0">
    <w:p w14:paraId="13FA9914" w14:textId="77777777" w:rsidR="006117F3" w:rsidRDefault="006117F3" w:rsidP="00D1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38340"/>
      <w:docPartObj>
        <w:docPartGallery w:val="Page Numbers (Bottom of Page)"/>
        <w:docPartUnique/>
      </w:docPartObj>
    </w:sdtPr>
    <w:sdtEndPr/>
    <w:sdtContent>
      <w:p w14:paraId="01250895" w14:textId="4B8D6AFF" w:rsidR="00B34E47" w:rsidRDefault="00B34E47">
        <w:pPr>
          <w:pStyle w:val="Footer"/>
          <w:jc w:val="center"/>
        </w:pPr>
        <w:r>
          <w:fldChar w:fldCharType="begin"/>
        </w:r>
        <w:r>
          <w:instrText>PAGE   \* MERGEFORMAT</w:instrText>
        </w:r>
        <w:r>
          <w:fldChar w:fldCharType="separate"/>
        </w:r>
        <w:r>
          <w:t>2</w:t>
        </w:r>
        <w:r>
          <w:fldChar w:fldCharType="end"/>
        </w:r>
      </w:p>
    </w:sdtContent>
  </w:sdt>
  <w:p w14:paraId="6C74CBF1" w14:textId="77777777" w:rsidR="00B34E47" w:rsidRDefault="00B34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4008" w14:textId="77777777" w:rsidR="006117F3" w:rsidRDefault="006117F3" w:rsidP="00D17BBF">
      <w:pPr>
        <w:spacing w:after="0" w:line="240" w:lineRule="auto"/>
      </w:pPr>
      <w:r>
        <w:separator/>
      </w:r>
    </w:p>
  </w:footnote>
  <w:footnote w:type="continuationSeparator" w:id="0">
    <w:p w14:paraId="034AF527" w14:textId="77777777" w:rsidR="006117F3" w:rsidRDefault="006117F3" w:rsidP="00D17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40E"/>
    <w:multiLevelType w:val="multilevel"/>
    <w:tmpl w:val="97E49F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7A5C03"/>
    <w:multiLevelType w:val="multilevel"/>
    <w:tmpl w:val="55E25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DF7055"/>
    <w:multiLevelType w:val="multilevel"/>
    <w:tmpl w:val="87B839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875694"/>
    <w:multiLevelType w:val="multilevel"/>
    <w:tmpl w:val="58261A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0DB4CCE"/>
    <w:multiLevelType w:val="multilevel"/>
    <w:tmpl w:val="655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E760E"/>
    <w:multiLevelType w:val="hybridMultilevel"/>
    <w:tmpl w:val="81CCF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AA0D14"/>
    <w:multiLevelType w:val="multilevel"/>
    <w:tmpl w:val="DB004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294403"/>
    <w:multiLevelType w:val="multilevel"/>
    <w:tmpl w:val="DD0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D09E6"/>
    <w:multiLevelType w:val="multilevel"/>
    <w:tmpl w:val="D5AE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DB209B"/>
    <w:multiLevelType w:val="multilevel"/>
    <w:tmpl w:val="10C0E6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A096067"/>
    <w:multiLevelType w:val="multilevel"/>
    <w:tmpl w:val="3AB47E3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CCC4A85"/>
    <w:multiLevelType w:val="multilevel"/>
    <w:tmpl w:val="4940A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6244C2"/>
    <w:multiLevelType w:val="hybridMultilevel"/>
    <w:tmpl w:val="042C52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D7D4C48"/>
    <w:multiLevelType w:val="multilevel"/>
    <w:tmpl w:val="A5F2C8A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732397"/>
    <w:multiLevelType w:val="multilevel"/>
    <w:tmpl w:val="FD8C9D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289316E"/>
    <w:multiLevelType w:val="multilevel"/>
    <w:tmpl w:val="19180F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E277778"/>
    <w:multiLevelType w:val="hybridMultilevel"/>
    <w:tmpl w:val="7DC6AC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6095E3A"/>
    <w:multiLevelType w:val="multilevel"/>
    <w:tmpl w:val="6938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916C0E"/>
    <w:multiLevelType w:val="hybridMultilevel"/>
    <w:tmpl w:val="62CCBC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211DB6"/>
    <w:multiLevelType w:val="multilevel"/>
    <w:tmpl w:val="F3942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D780A77"/>
    <w:multiLevelType w:val="multilevel"/>
    <w:tmpl w:val="560681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2180916"/>
    <w:multiLevelType w:val="multilevel"/>
    <w:tmpl w:val="93D85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3D07FB4"/>
    <w:multiLevelType w:val="multilevel"/>
    <w:tmpl w:val="DD14D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8985A67"/>
    <w:multiLevelType w:val="hybridMultilevel"/>
    <w:tmpl w:val="EBCC9F3E"/>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6A6C114B"/>
    <w:multiLevelType w:val="multilevel"/>
    <w:tmpl w:val="5986D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B3D625C"/>
    <w:multiLevelType w:val="multilevel"/>
    <w:tmpl w:val="68CCEE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A084EBD"/>
    <w:multiLevelType w:val="hybridMultilevel"/>
    <w:tmpl w:val="F066FA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CAA5B66"/>
    <w:multiLevelType w:val="multilevel"/>
    <w:tmpl w:val="593A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3236577">
    <w:abstractNumId w:val="8"/>
  </w:num>
  <w:num w:numId="2" w16cid:durableId="1996370662">
    <w:abstractNumId w:val="4"/>
  </w:num>
  <w:num w:numId="3" w16cid:durableId="1810591346">
    <w:abstractNumId w:val="7"/>
  </w:num>
  <w:num w:numId="4" w16cid:durableId="7754088">
    <w:abstractNumId w:val="16"/>
  </w:num>
  <w:num w:numId="5" w16cid:durableId="1656909838">
    <w:abstractNumId w:val="17"/>
    <w:lvlOverride w:ilvl="0">
      <w:startOverride w:val="1"/>
    </w:lvlOverride>
  </w:num>
  <w:num w:numId="6" w16cid:durableId="576525380">
    <w:abstractNumId w:val="19"/>
    <w:lvlOverride w:ilvl="0">
      <w:startOverride w:val="1"/>
    </w:lvlOverride>
  </w:num>
  <w:num w:numId="7" w16cid:durableId="1244949524">
    <w:abstractNumId w:val="27"/>
    <w:lvlOverride w:ilvl="0">
      <w:startOverride w:val="1"/>
    </w:lvlOverride>
  </w:num>
  <w:num w:numId="8" w16cid:durableId="2067103511">
    <w:abstractNumId w:val="2"/>
    <w:lvlOverride w:ilvl="0">
      <w:startOverride w:val="1"/>
    </w:lvlOverride>
  </w:num>
  <w:num w:numId="9" w16cid:durableId="454760244">
    <w:abstractNumId w:val="14"/>
    <w:lvlOverride w:ilvl="0">
      <w:startOverride w:val="1"/>
    </w:lvlOverride>
  </w:num>
  <w:num w:numId="10" w16cid:durableId="647906898">
    <w:abstractNumId w:val="25"/>
    <w:lvlOverride w:ilvl="0">
      <w:startOverride w:val="1"/>
    </w:lvlOverride>
  </w:num>
  <w:num w:numId="11" w16cid:durableId="488639402">
    <w:abstractNumId w:val="9"/>
    <w:lvlOverride w:ilvl="0">
      <w:startOverride w:val="1"/>
    </w:lvlOverride>
  </w:num>
  <w:num w:numId="12" w16cid:durableId="1350642300">
    <w:abstractNumId w:val="11"/>
    <w:lvlOverride w:ilvl="0">
      <w:startOverride w:val="1"/>
    </w:lvlOverride>
  </w:num>
  <w:num w:numId="13" w16cid:durableId="1683119942">
    <w:abstractNumId w:val="3"/>
    <w:lvlOverride w:ilvl="0">
      <w:startOverride w:val="1"/>
    </w:lvlOverride>
  </w:num>
  <w:num w:numId="14" w16cid:durableId="1946620282">
    <w:abstractNumId w:val="21"/>
    <w:lvlOverride w:ilvl="0">
      <w:startOverride w:val="1"/>
    </w:lvlOverride>
  </w:num>
  <w:num w:numId="15" w16cid:durableId="2054227320">
    <w:abstractNumId w:val="20"/>
    <w:lvlOverride w:ilvl="0">
      <w:startOverride w:val="1"/>
    </w:lvlOverride>
  </w:num>
  <w:num w:numId="16" w16cid:durableId="416093203">
    <w:abstractNumId w:val="1"/>
    <w:lvlOverride w:ilvl="0">
      <w:startOverride w:val="1"/>
    </w:lvlOverride>
  </w:num>
  <w:num w:numId="17" w16cid:durableId="711348286">
    <w:abstractNumId w:val="15"/>
    <w:lvlOverride w:ilvl="0">
      <w:startOverride w:val="1"/>
    </w:lvlOverride>
  </w:num>
  <w:num w:numId="18" w16cid:durableId="330568018">
    <w:abstractNumId w:val="10"/>
  </w:num>
  <w:num w:numId="19" w16cid:durableId="1543833416">
    <w:abstractNumId w:val="6"/>
    <w:lvlOverride w:ilvl="0">
      <w:startOverride w:val="1"/>
    </w:lvlOverride>
  </w:num>
  <w:num w:numId="20" w16cid:durableId="628826936">
    <w:abstractNumId w:val="0"/>
    <w:lvlOverride w:ilvl="0">
      <w:startOverride w:val="1"/>
    </w:lvlOverride>
  </w:num>
  <w:num w:numId="21" w16cid:durableId="355739576">
    <w:abstractNumId w:val="22"/>
    <w:lvlOverride w:ilvl="0">
      <w:startOverride w:val="1"/>
    </w:lvlOverride>
  </w:num>
  <w:num w:numId="22" w16cid:durableId="961806563">
    <w:abstractNumId w:val="13"/>
  </w:num>
  <w:num w:numId="23" w16cid:durableId="1772044040">
    <w:abstractNumId w:val="24"/>
    <w:lvlOverride w:ilvl="0">
      <w:startOverride w:val="1"/>
    </w:lvlOverride>
  </w:num>
  <w:num w:numId="24" w16cid:durableId="1418945173">
    <w:abstractNumId w:val="12"/>
  </w:num>
  <w:num w:numId="25" w16cid:durableId="1919169064">
    <w:abstractNumId w:val="18"/>
  </w:num>
  <w:num w:numId="26" w16cid:durableId="1444152709">
    <w:abstractNumId w:val="23"/>
  </w:num>
  <w:num w:numId="27" w16cid:durableId="212429227">
    <w:abstractNumId w:val="5"/>
  </w:num>
  <w:num w:numId="28" w16cid:durableId="7375533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7"/>
    <w:rsid w:val="00011759"/>
    <w:rsid w:val="0001654A"/>
    <w:rsid w:val="00021274"/>
    <w:rsid w:val="00021D3E"/>
    <w:rsid w:val="00046C33"/>
    <w:rsid w:val="0005733B"/>
    <w:rsid w:val="00064FFF"/>
    <w:rsid w:val="00072D55"/>
    <w:rsid w:val="0007467F"/>
    <w:rsid w:val="00090400"/>
    <w:rsid w:val="000907C0"/>
    <w:rsid w:val="000942A3"/>
    <w:rsid w:val="000A4181"/>
    <w:rsid w:val="000B0F0A"/>
    <w:rsid w:val="000B1071"/>
    <w:rsid w:val="000C13E9"/>
    <w:rsid w:val="000C3B66"/>
    <w:rsid w:val="000C3EB3"/>
    <w:rsid w:val="000C5D68"/>
    <w:rsid w:val="000D2D50"/>
    <w:rsid w:val="000D3ACB"/>
    <w:rsid w:val="000D4D06"/>
    <w:rsid w:val="000D7027"/>
    <w:rsid w:val="000E2964"/>
    <w:rsid w:val="000E48B4"/>
    <w:rsid w:val="000F133B"/>
    <w:rsid w:val="000F3BFF"/>
    <w:rsid w:val="00105C07"/>
    <w:rsid w:val="00107601"/>
    <w:rsid w:val="00112018"/>
    <w:rsid w:val="00112FAC"/>
    <w:rsid w:val="00113629"/>
    <w:rsid w:val="001146E7"/>
    <w:rsid w:val="00115856"/>
    <w:rsid w:val="001259AD"/>
    <w:rsid w:val="00140FAF"/>
    <w:rsid w:val="00145C58"/>
    <w:rsid w:val="00146141"/>
    <w:rsid w:val="00153B85"/>
    <w:rsid w:val="00156BB6"/>
    <w:rsid w:val="0016292D"/>
    <w:rsid w:val="00167C8D"/>
    <w:rsid w:val="0018121B"/>
    <w:rsid w:val="00184418"/>
    <w:rsid w:val="00185ECC"/>
    <w:rsid w:val="00186EE1"/>
    <w:rsid w:val="001876CD"/>
    <w:rsid w:val="001A2711"/>
    <w:rsid w:val="001A293C"/>
    <w:rsid w:val="001B11C1"/>
    <w:rsid w:val="001B6548"/>
    <w:rsid w:val="001D6CD9"/>
    <w:rsid w:val="001E0178"/>
    <w:rsid w:val="001E0C7C"/>
    <w:rsid w:val="001E3D89"/>
    <w:rsid w:val="0020132D"/>
    <w:rsid w:val="00205C9A"/>
    <w:rsid w:val="00207F7C"/>
    <w:rsid w:val="00211FBA"/>
    <w:rsid w:val="0021551D"/>
    <w:rsid w:val="002176C2"/>
    <w:rsid w:val="002264EA"/>
    <w:rsid w:val="00226F3D"/>
    <w:rsid w:val="00234DD0"/>
    <w:rsid w:val="002479A5"/>
    <w:rsid w:val="0025465D"/>
    <w:rsid w:val="0026016F"/>
    <w:rsid w:val="00261B79"/>
    <w:rsid w:val="0026283A"/>
    <w:rsid w:val="00263AF6"/>
    <w:rsid w:val="002702CD"/>
    <w:rsid w:val="0027304F"/>
    <w:rsid w:val="0027692E"/>
    <w:rsid w:val="00286AE7"/>
    <w:rsid w:val="002926B3"/>
    <w:rsid w:val="00294F7A"/>
    <w:rsid w:val="002B30A1"/>
    <w:rsid w:val="002C016B"/>
    <w:rsid w:val="002C085A"/>
    <w:rsid w:val="002C2A3A"/>
    <w:rsid w:val="002C6A8E"/>
    <w:rsid w:val="002D00A0"/>
    <w:rsid w:val="002D49F7"/>
    <w:rsid w:val="002E03CF"/>
    <w:rsid w:val="002F6DDF"/>
    <w:rsid w:val="00300028"/>
    <w:rsid w:val="00302B85"/>
    <w:rsid w:val="00303352"/>
    <w:rsid w:val="00304217"/>
    <w:rsid w:val="00311FD9"/>
    <w:rsid w:val="00312C5F"/>
    <w:rsid w:val="00315A93"/>
    <w:rsid w:val="003202DA"/>
    <w:rsid w:val="00327267"/>
    <w:rsid w:val="00331F86"/>
    <w:rsid w:val="00331FCC"/>
    <w:rsid w:val="00345614"/>
    <w:rsid w:val="00346171"/>
    <w:rsid w:val="003526EE"/>
    <w:rsid w:val="003555D7"/>
    <w:rsid w:val="00360226"/>
    <w:rsid w:val="00360358"/>
    <w:rsid w:val="00367296"/>
    <w:rsid w:val="00370C26"/>
    <w:rsid w:val="00375B19"/>
    <w:rsid w:val="00375B36"/>
    <w:rsid w:val="00383B63"/>
    <w:rsid w:val="0038568D"/>
    <w:rsid w:val="00394064"/>
    <w:rsid w:val="00395B5A"/>
    <w:rsid w:val="003A0C5B"/>
    <w:rsid w:val="003A1B23"/>
    <w:rsid w:val="003A351E"/>
    <w:rsid w:val="003B11EE"/>
    <w:rsid w:val="003B1348"/>
    <w:rsid w:val="003B4AD4"/>
    <w:rsid w:val="003B52FC"/>
    <w:rsid w:val="003B7969"/>
    <w:rsid w:val="003C1933"/>
    <w:rsid w:val="003C216B"/>
    <w:rsid w:val="003C41A0"/>
    <w:rsid w:val="003C6E99"/>
    <w:rsid w:val="003D4EA1"/>
    <w:rsid w:val="003D5628"/>
    <w:rsid w:val="003E0D12"/>
    <w:rsid w:val="0040589A"/>
    <w:rsid w:val="004215E5"/>
    <w:rsid w:val="0042259B"/>
    <w:rsid w:val="004267B6"/>
    <w:rsid w:val="00426B4C"/>
    <w:rsid w:val="004276FA"/>
    <w:rsid w:val="004308C0"/>
    <w:rsid w:val="0043633A"/>
    <w:rsid w:val="0044332C"/>
    <w:rsid w:val="00447CB2"/>
    <w:rsid w:val="00452CFE"/>
    <w:rsid w:val="00453B74"/>
    <w:rsid w:val="00457FC2"/>
    <w:rsid w:val="00461448"/>
    <w:rsid w:val="0046381A"/>
    <w:rsid w:val="00470C85"/>
    <w:rsid w:val="0047609B"/>
    <w:rsid w:val="00481D9A"/>
    <w:rsid w:val="00486FB7"/>
    <w:rsid w:val="00493202"/>
    <w:rsid w:val="00493378"/>
    <w:rsid w:val="004945E7"/>
    <w:rsid w:val="00495C22"/>
    <w:rsid w:val="004C1888"/>
    <w:rsid w:val="004C313B"/>
    <w:rsid w:val="004C4DBD"/>
    <w:rsid w:val="004C5847"/>
    <w:rsid w:val="004C5C68"/>
    <w:rsid w:val="004E1F6E"/>
    <w:rsid w:val="004F4F78"/>
    <w:rsid w:val="00500C4A"/>
    <w:rsid w:val="00500C7F"/>
    <w:rsid w:val="005014A2"/>
    <w:rsid w:val="00511B08"/>
    <w:rsid w:val="005258EE"/>
    <w:rsid w:val="005304D6"/>
    <w:rsid w:val="00532B69"/>
    <w:rsid w:val="005440DA"/>
    <w:rsid w:val="005552D0"/>
    <w:rsid w:val="00556977"/>
    <w:rsid w:val="005634DB"/>
    <w:rsid w:val="0056694A"/>
    <w:rsid w:val="00566E50"/>
    <w:rsid w:val="0056790A"/>
    <w:rsid w:val="005709AA"/>
    <w:rsid w:val="00573B7D"/>
    <w:rsid w:val="00577E63"/>
    <w:rsid w:val="0058050E"/>
    <w:rsid w:val="00584CE8"/>
    <w:rsid w:val="00585976"/>
    <w:rsid w:val="00586684"/>
    <w:rsid w:val="00591159"/>
    <w:rsid w:val="005A57C7"/>
    <w:rsid w:val="005B2EEE"/>
    <w:rsid w:val="005B3EC3"/>
    <w:rsid w:val="005B51BC"/>
    <w:rsid w:val="005B5FA0"/>
    <w:rsid w:val="005B66D0"/>
    <w:rsid w:val="005C1B8C"/>
    <w:rsid w:val="005C538D"/>
    <w:rsid w:val="005C7AD4"/>
    <w:rsid w:val="005D7BDE"/>
    <w:rsid w:val="005E2299"/>
    <w:rsid w:val="005F38A1"/>
    <w:rsid w:val="00600BD3"/>
    <w:rsid w:val="006014BE"/>
    <w:rsid w:val="00607636"/>
    <w:rsid w:val="00607874"/>
    <w:rsid w:val="00610FC5"/>
    <w:rsid w:val="006117F3"/>
    <w:rsid w:val="00615D76"/>
    <w:rsid w:val="00615DAE"/>
    <w:rsid w:val="00634088"/>
    <w:rsid w:val="00642CAB"/>
    <w:rsid w:val="006479A4"/>
    <w:rsid w:val="006479A7"/>
    <w:rsid w:val="006564A5"/>
    <w:rsid w:val="00667864"/>
    <w:rsid w:val="00670ECB"/>
    <w:rsid w:val="0068185A"/>
    <w:rsid w:val="0068768C"/>
    <w:rsid w:val="00687E6D"/>
    <w:rsid w:val="0069002E"/>
    <w:rsid w:val="0069635A"/>
    <w:rsid w:val="006A0E2F"/>
    <w:rsid w:val="006A0E6D"/>
    <w:rsid w:val="006A61E1"/>
    <w:rsid w:val="006B0B9F"/>
    <w:rsid w:val="006B1B9B"/>
    <w:rsid w:val="006B5A8A"/>
    <w:rsid w:val="006C11D2"/>
    <w:rsid w:val="006C2B68"/>
    <w:rsid w:val="006C4F9B"/>
    <w:rsid w:val="006D2A71"/>
    <w:rsid w:val="006D3E34"/>
    <w:rsid w:val="006E382B"/>
    <w:rsid w:val="006E6D2E"/>
    <w:rsid w:val="006E750C"/>
    <w:rsid w:val="006F6ED7"/>
    <w:rsid w:val="00702AA2"/>
    <w:rsid w:val="007073B1"/>
    <w:rsid w:val="0071034B"/>
    <w:rsid w:val="00712EB5"/>
    <w:rsid w:val="00714AEC"/>
    <w:rsid w:val="007162A5"/>
    <w:rsid w:val="00716434"/>
    <w:rsid w:val="00716C14"/>
    <w:rsid w:val="00717F5D"/>
    <w:rsid w:val="00721487"/>
    <w:rsid w:val="007348B3"/>
    <w:rsid w:val="007571E4"/>
    <w:rsid w:val="00762445"/>
    <w:rsid w:val="00764517"/>
    <w:rsid w:val="0076455A"/>
    <w:rsid w:val="0076462E"/>
    <w:rsid w:val="00774C98"/>
    <w:rsid w:val="0077587D"/>
    <w:rsid w:val="00782277"/>
    <w:rsid w:val="00783CB7"/>
    <w:rsid w:val="007859DB"/>
    <w:rsid w:val="007A1661"/>
    <w:rsid w:val="007A1F4D"/>
    <w:rsid w:val="007A527A"/>
    <w:rsid w:val="007A6D80"/>
    <w:rsid w:val="007B044F"/>
    <w:rsid w:val="007B4835"/>
    <w:rsid w:val="007B5D62"/>
    <w:rsid w:val="007B78E2"/>
    <w:rsid w:val="007D5F66"/>
    <w:rsid w:val="007E0503"/>
    <w:rsid w:val="007E2413"/>
    <w:rsid w:val="007E5B42"/>
    <w:rsid w:val="007E7BC3"/>
    <w:rsid w:val="007F5706"/>
    <w:rsid w:val="007F77F1"/>
    <w:rsid w:val="00803D4B"/>
    <w:rsid w:val="00805A09"/>
    <w:rsid w:val="00815F1B"/>
    <w:rsid w:val="00820CFE"/>
    <w:rsid w:val="008220C4"/>
    <w:rsid w:val="008327B0"/>
    <w:rsid w:val="008427FA"/>
    <w:rsid w:val="00842CBE"/>
    <w:rsid w:val="008456E6"/>
    <w:rsid w:val="00846286"/>
    <w:rsid w:val="00851254"/>
    <w:rsid w:val="00852FF6"/>
    <w:rsid w:val="00861275"/>
    <w:rsid w:val="008653BC"/>
    <w:rsid w:val="00865CBB"/>
    <w:rsid w:val="008673DA"/>
    <w:rsid w:val="00873720"/>
    <w:rsid w:val="00876A01"/>
    <w:rsid w:val="00876DAE"/>
    <w:rsid w:val="0088142E"/>
    <w:rsid w:val="00883242"/>
    <w:rsid w:val="00887BE2"/>
    <w:rsid w:val="00891A6A"/>
    <w:rsid w:val="00892ADA"/>
    <w:rsid w:val="008A0041"/>
    <w:rsid w:val="008A2DE4"/>
    <w:rsid w:val="008A5E6E"/>
    <w:rsid w:val="008B0F85"/>
    <w:rsid w:val="008B4A32"/>
    <w:rsid w:val="008C47A3"/>
    <w:rsid w:val="008C6090"/>
    <w:rsid w:val="008C6317"/>
    <w:rsid w:val="008C70DD"/>
    <w:rsid w:val="008E24CD"/>
    <w:rsid w:val="008E3EB9"/>
    <w:rsid w:val="008E46FA"/>
    <w:rsid w:val="008E500E"/>
    <w:rsid w:val="008F033D"/>
    <w:rsid w:val="00900C39"/>
    <w:rsid w:val="00912FBC"/>
    <w:rsid w:val="009150E4"/>
    <w:rsid w:val="009178F5"/>
    <w:rsid w:val="00923BF6"/>
    <w:rsid w:val="009251F5"/>
    <w:rsid w:val="00931FED"/>
    <w:rsid w:val="00935E47"/>
    <w:rsid w:val="00945BFB"/>
    <w:rsid w:val="0094702A"/>
    <w:rsid w:val="00952AD1"/>
    <w:rsid w:val="0095375E"/>
    <w:rsid w:val="0095383A"/>
    <w:rsid w:val="0095526D"/>
    <w:rsid w:val="00955DF3"/>
    <w:rsid w:val="009747A4"/>
    <w:rsid w:val="00981D1E"/>
    <w:rsid w:val="00982D50"/>
    <w:rsid w:val="0099165C"/>
    <w:rsid w:val="00992676"/>
    <w:rsid w:val="00992EBA"/>
    <w:rsid w:val="009963C3"/>
    <w:rsid w:val="00996CF5"/>
    <w:rsid w:val="009A1CCF"/>
    <w:rsid w:val="009A2B2F"/>
    <w:rsid w:val="009A5EFD"/>
    <w:rsid w:val="009A6991"/>
    <w:rsid w:val="009B1D83"/>
    <w:rsid w:val="009B2238"/>
    <w:rsid w:val="009B3603"/>
    <w:rsid w:val="009B7CFF"/>
    <w:rsid w:val="009C0693"/>
    <w:rsid w:val="009C49B2"/>
    <w:rsid w:val="009C4E40"/>
    <w:rsid w:val="009D2F86"/>
    <w:rsid w:val="009D4C58"/>
    <w:rsid w:val="009D6D30"/>
    <w:rsid w:val="009E04E4"/>
    <w:rsid w:val="009E0982"/>
    <w:rsid w:val="009E0C61"/>
    <w:rsid w:val="009E23A1"/>
    <w:rsid w:val="009E43B9"/>
    <w:rsid w:val="009E5D87"/>
    <w:rsid w:val="009E635B"/>
    <w:rsid w:val="009F646C"/>
    <w:rsid w:val="00A0676E"/>
    <w:rsid w:val="00A0741B"/>
    <w:rsid w:val="00A10D61"/>
    <w:rsid w:val="00A22050"/>
    <w:rsid w:val="00A25435"/>
    <w:rsid w:val="00A3297D"/>
    <w:rsid w:val="00A3396B"/>
    <w:rsid w:val="00A35EED"/>
    <w:rsid w:val="00A40129"/>
    <w:rsid w:val="00A41D67"/>
    <w:rsid w:val="00A456F9"/>
    <w:rsid w:val="00A507A6"/>
    <w:rsid w:val="00A564CB"/>
    <w:rsid w:val="00A6021F"/>
    <w:rsid w:val="00A612C0"/>
    <w:rsid w:val="00A615C2"/>
    <w:rsid w:val="00A67B3E"/>
    <w:rsid w:val="00A716A0"/>
    <w:rsid w:val="00A7646E"/>
    <w:rsid w:val="00A769ED"/>
    <w:rsid w:val="00A80AD6"/>
    <w:rsid w:val="00A905D6"/>
    <w:rsid w:val="00A9793A"/>
    <w:rsid w:val="00AA31EA"/>
    <w:rsid w:val="00AA7CD3"/>
    <w:rsid w:val="00AB78AB"/>
    <w:rsid w:val="00AC025E"/>
    <w:rsid w:val="00AC653D"/>
    <w:rsid w:val="00AC74C9"/>
    <w:rsid w:val="00AC7E65"/>
    <w:rsid w:val="00AD0E52"/>
    <w:rsid w:val="00AD2A22"/>
    <w:rsid w:val="00AE676C"/>
    <w:rsid w:val="00AE6A60"/>
    <w:rsid w:val="00AF569D"/>
    <w:rsid w:val="00B00D5F"/>
    <w:rsid w:val="00B07E48"/>
    <w:rsid w:val="00B10491"/>
    <w:rsid w:val="00B12042"/>
    <w:rsid w:val="00B22B0D"/>
    <w:rsid w:val="00B23621"/>
    <w:rsid w:val="00B2416E"/>
    <w:rsid w:val="00B26E0F"/>
    <w:rsid w:val="00B34E47"/>
    <w:rsid w:val="00B35B64"/>
    <w:rsid w:val="00B37D1A"/>
    <w:rsid w:val="00B439B5"/>
    <w:rsid w:val="00B44BF6"/>
    <w:rsid w:val="00B513D6"/>
    <w:rsid w:val="00B51567"/>
    <w:rsid w:val="00B529AB"/>
    <w:rsid w:val="00B53ACF"/>
    <w:rsid w:val="00B53B72"/>
    <w:rsid w:val="00B54EF6"/>
    <w:rsid w:val="00B5705B"/>
    <w:rsid w:val="00B5770E"/>
    <w:rsid w:val="00B71DCC"/>
    <w:rsid w:val="00B773AE"/>
    <w:rsid w:val="00B8072D"/>
    <w:rsid w:val="00B85980"/>
    <w:rsid w:val="00B922AF"/>
    <w:rsid w:val="00B9320A"/>
    <w:rsid w:val="00B93D1D"/>
    <w:rsid w:val="00B94A09"/>
    <w:rsid w:val="00BA37FF"/>
    <w:rsid w:val="00BA7219"/>
    <w:rsid w:val="00BB028F"/>
    <w:rsid w:val="00BC2A52"/>
    <w:rsid w:val="00BD087D"/>
    <w:rsid w:val="00BD4D73"/>
    <w:rsid w:val="00BD74D9"/>
    <w:rsid w:val="00BE5B7D"/>
    <w:rsid w:val="00BF1857"/>
    <w:rsid w:val="00BF25FE"/>
    <w:rsid w:val="00BF7AA5"/>
    <w:rsid w:val="00C00408"/>
    <w:rsid w:val="00C01819"/>
    <w:rsid w:val="00C02D41"/>
    <w:rsid w:val="00C04134"/>
    <w:rsid w:val="00C14419"/>
    <w:rsid w:val="00C22396"/>
    <w:rsid w:val="00C23838"/>
    <w:rsid w:val="00C2638A"/>
    <w:rsid w:val="00C401A5"/>
    <w:rsid w:val="00C4304E"/>
    <w:rsid w:val="00C43A6C"/>
    <w:rsid w:val="00C465D1"/>
    <w:rsid w:val="00C56383"/>
    <w:rsid w:val="00C81AE0"/>
    <w:rsid w:val="00C90642"/>
    <w:rsid w:val="00C93A78"/>
    <w:rsid w:val="00C97EE6"/>
    <w:rsid w:val="00CB008C"/>
    <w:rsid w:val="00CB0A7C"/>
    <w:rsid w:val="00CB1BE2"/>
    <w:rsid w:val="00CB2EE0"/>
    <w:rsid w:val="00CC0CE8"/>
    <w:rsid w:val="00CC2136"/>
    <w:rsid w:val="00CC3E22"/>
    <w:rsid w:val="00CD4F73"/>
    <w:rsid w:val="00CE1458"/>
    <w:rsid w:val="00CE1BF5"/>
    <w:rsid w:val="00CE4668"/>
    <w:rsid w:val="00CE58BB"/>
    <w:rsid w:val="00CE6711"/>
    <w:rsid w:val="00CF5920"/>
    <w:rsid w:val="00CF5AE5"/>
    <w:rsid w:val="00CF79BF"/>
    <w:rsid w:val="00D00DBA"/>
    <w:rsid w:val="00D01737"/>
    <w:rsid w:val="00D03509"/>
    <w:rsid w:val="00D039B9"/>
    <w:rsid w:val="00D16937"/>
    <w:rsid w:val="00D17820"/>
    <w:rsid w:val="00D17BBF"/>
    <w:rsid w:val="00D21486"/>
    <w:rsid w:val="00D2275E"/>
    <w:rsid w:val="00D41C33"/>
    <w:rsid w:val="00D41FED"/>
    <w:rsid w:val="00D567D8"/>
    <w:rsid w:val="00D663B0"/>
    <w:rsid w:val="00D66AF5"/>
    <w:rsid w:val="00D70AE5"/>
    <w:rsid w:val="00D71153"/>
    <w:rsid w:val="00D732CA"/>
    <w:rsid w:val="00D73F68"/>
    <w:rsid w:val="00D77123"/>
    <w:rsid w:val="00D77150"/>
    <w:rsid w:val="00D77A1C"/>
    <w:rsid w:val="00D801AB"/>
    <w:rsid w:val="00D84413"/>
    <w:rsid w:val="00D84858"/>
    <w:rsid w:val="00D908F8"/>
    <w:rsid w:val="00D94AC1"/>
    <w:rsid w:val="00DA1431"/>
    <w:rsid w:val="00DA2B1B"/>
    <w:rsid w:val="00DC0135"/>
    <w:rsid w:val="00DC74CC"/>
    <w:rsid w:val="00DD02C4"/>
    <w:rsid w:val="00DD1E17"/>
    <w:rsid w:val="00DE3941"/>
    <w:rsid w:val="00DF0157"/>
    <w:rsid w:val="00DF1430"/>
    <w:rsid w:val="00DF182D"/>
    <w:rsid w:val="00DF24EA"/>
    <w:rsid w:val="00DF4549"/>
    <w:rsid w:val="00E00CD0"/>
    <w:rsid w:val="00E233B9"/>
    <w:rsid w:val="00E43237"/>
    <w:rsid w:val="00E526ED"/>
    <w:rsid w:val="00E538CB"/>
    <w:rsid w:val="00E551C6"/>
    <w:rsid w:val="00E5628C"/>
    <w:rsid w:val="00E56E2E"/>
    <w:rsid w:val="00E60675"/>
    <w:rsid w:val="00E67C16"/>
    <w:rsid w:val="00E67C71"/>
    <w:rsid w:val="00E747B9"/>
    <w:rsid w:val="00E77D47"/>
    <w:rsid w:val="00E85898"/>
    <w:rsid w:val="00E85910"/>
    <w:rsid w:val="00E91F54"/>
    <w:rsid w:val="00E93B98"/>
    <w:rsid w:val="00E93BB3"/>
    <w:rsid w:val="00E94916"/>
    <w:rsid w:val="00EA0350"/>
    <w:rsid w:val="00EA1A5F"/>
    <w:rsid w:val="00EA3CC8"/>
    <w:rsid w:val="00EA6A39"/>
    <w:rsid w:val="00EB0E80"/>
    <w:rsid w:val="00EB1EED"/>
    <w:rsid w:val="00EB2C03"/>
    <w:rsid w:val="00EB314E"/>
    <w:rsid w:val="00EB65A2"/>
    <w:rsid w:val="00EC5453"/>
    <w:rsid w:val="00EC7844"/>
    <w:rsid w:val="00ED1EB0"/>
    <w:rsid w:val="00ED36D5"/>
    <w:rsid w:val="00ED3E99"/>
    <w:rsid w:val="00EE0E68"/>
    <w:rsid w:val="00EE2623"/>
    <w:rsid w:val="00F032F9"/>
    <w:rsid w:val="00F03815"/>
    <w:rsid w:val="00F10E56"/>
    <w:rsid w:val="00F11933"/>
    <w:rsid w:val="00F20D70"/>
    <w:rsid w:val="00F22258"/>
    <w:rsid w:val="00F23A70"/>
    <w:rsid w:val="00F3635A"/>
    <w:rsid w:val="00F419CD"/>
    <w:rsid w:val="00F41F25"/>
    <w:rsid w:val="00F4207E"/>
    <w:rsid w:val="00F468F4"/>
    <w:rsid w:val="00F55F6E"/>
    <w:rsid w:val="00F66452"/>
    <w:rsid w:val="00F72EA5"/>
    <w:rsid w:val="00F734F0"/>
    <w:rsid w:val="00F7549B"/>
    <w:rsid w:val="00F75DD0"/>
    <w:rsid w:val="00F87468"/>
    <w:rsid w:val="00F87FD5"/>
    <w:rsid w:val="00F93022"/>
    <w:rsid w:val="00F956F0"/>
    <w:rsid w:val="00FA0A8D"/>
    <w:rsid w:val="00FB4F10"/>
    <w:rsid w:val="00FC1D71"/>
    <w:rsid w:val="00FC62FC"/>
    <w:rsid w:val="00FD59D9"/>
    <w:rsid w:val="00FE103E"/>
    <w:rsid w:val="00FE1B4D"/>
    <w:rsid w:val="00FE232E"/>
    <w:rsid w:val="00FE2CE1"/>
    <w:rsid w:val="00FE4FAE"/>
    <w:rsid w:val="00FF1469"/>
    <w:rsid w:val="00FF1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233FF"/>
  <w15:chartTrackingRefBased/>
  <w15:docId w15:val="{0AF5499B-6D55-4F37-8CE9-5004360A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58"/>
  </w:style>
  <w:style w:type="paragraph" w:styleId="Heading1">
    <w:name w:val="heading 1"/>
    <w:basedOn w:val="Normal"/>
    <w:next w:val="Normal"/>
    <w:link w:val="Heading1Char"/>
    <w:uiPriority w:val="9"/>
    <w:qFormat/>
    <w:rsid w:val="00D8485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485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8485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8485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8485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8485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8485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8485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8485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9635A"/>
    <w:pPr>
      <w:spacing w:after="0" w:line="240" w:lineRule="auto"/>
    </w:pPr>
  </w:style>
  <w:style w:type="character" w:styleId="CommentReference">
    <w:name w:val="annotation reference"/>
    <w:basedOn w:val="DefaultParagraphFont"/>
    <w:uiPriority w:val="99"/>
    <w:semiHidden/>
    <w:unhideWhenUsed/>
    <w:rsid w:val="00A905D6"/>
    <w:rPr>
      <w:sz w:val="16"/>
      <w:szCs w:val="16"/>
    </w:rPr>
  </w:style>
  <w:style w:type="paragraph" w:styleId="CommentText">
    <w:name w:val="annotation text"/>
    <w:basedOn w:val="Normal"/>
    <w:link w:val="CommentTextChar"/>
    <w:uiPriority w:val="99"/>
    <w:unhideWhenUsed/>
    <w:rsid w:val="00A905D6"/>
    <w:pPr>
      <w:spacing w:line="240" w:lineRule="auto"/>
    </w:pPr>
  </w:style>
  <w:style w:type="character" w:customStyle="1" w:styleId="CommentTextChar">
    <w:name w:val="Comment Text Char"/>
    <w:basedOn w:val="DefaultParagraphFont"/>
    <w:link w:val="CommentText"/>
    <w:uiPriority w:val="99"/>
    <w:rsid w:val="00A905D6"/>
    <w:rPr>
      <w:sz w:val="20"/>
      <w:szCs w:val="20"/>
    </w:rPr>
  </w:style>
  <w:style w:type="paragraph" w:styleId="CommentSubject">
    <w:name w:val="annotation subject"/>
    <w:basedOn w:val="CommentText"/>
    <w:next w:val="CommentText"/>
    <w:link w:val="CommentSubjectChar"/>
    <w:uiPriority w:val="99"/>
    <w:semiHidden/>
    <w:unhideWhenUsed/>
    <w:rsid w:val="00A905D6"/>
    <w:rPr>
      <w:b/>
      <w:bCs/>
    </w:rPr>
  </w:style>
  <w:style w:type="character" w:customStyle="1" w:styleId="CommentSubjectChar">
    <w:name w:val="Comment Subject Char"/>
    <w:basedOn w:val="CommentTextChar"/>
    <w:link w:val="CommentSubject"/>
    <w:uiPriority w:val="99"/>
    <w:semiHidden/>
    <w:rsid w:val="00A905D6"/>
    <w:rPr>
      <w:b/>
      <w:bCs/>
      <w:sz w:val="20"/>
      <w:szCs w:val="20"/>
    </w:rPr>
  </w:style>
  <w:style w:type="paragraph" w:styleId="Header">
    <w:name w:val="header"/>
    <w:basedOn w:val="Normal"/>
    <w:link w:val="HeaderChar"/>
    <w:uiPriority w:val="99"/>
    <w:unhideWhenUsed/>
    <w:rsid w:val="00D17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BBF"/>
  </w:style>
  <w:style w:type="paragraph" w:styleId="Footer">
    <w:name w:val="footer"/>
    <w:basedOn w:val="Normal"/>
    <w:link w:val="FooterChar"/>
    <w:uiPriority w:val="99"/>
    <w:unhideWhenUsed/>
    <w:rsid w:val="00D17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BBF"/>
  </w:style>
  <w:style w:type="paragraph" w:styleId="ListParagraph">
    <w:name w:val="List Paragraph"/>
    <w:basedOn w:val="Normal"/>
    <w:uiPriority w:val="34"/>
    <w:qFormat/>
    <w:rsid w:val="00B8072D"/>
    <w:pPr>
      <w:ind w:left="720"/>
      <w:contextualSpacing/>
    </w:pPr>
  </w:style>
  <w:style w:type="character" w:customStyle="1" w:styleId="Heading1Char">
    <w:name w:val="Heading 1 Char"/>
    <w:basedOn w:val="DefaultParagraphFont"/>
    <w:link w:val="Heading1"/>
    <w:uiPriority w:val="9"/>
    <w:rsid w:val="00D848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8485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8485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8485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8485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8485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8485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8485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8485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8485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8485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8485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8485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84858"/>
    <w:rPr>
      <w:rFonts w:asciiTheme="majorHAnsi" w:eastAsiaTheme="majorEastAsia" w:hAnsiTheme="majorHAnsi" w:cstheme="majorBidi"/>
      <w:sz w:val="24"/>
      <w:szCs w:val="24"/>
    </w:rPr>
  </w:style>
  <w:style w:type="character" w:styleId="Strong">
    <w:name w:val="Strong"/>
    <w:basedOn w:val="DefaultParagraphFont"/>
    <w:uiPriority w:val="22"/>
    <w:qFormat/>
    <w:rsid w:val="00D84858"/>
    <w:rPr>
      <w:b/>
      <w:bCs/>
    </w:rPr>
  </w:style>
  <w:style w:type="character" w:styleId="Emphasis">
    <w:name w:val="Emphasis"/>
    <w:basedOn w:val="DefaultParagraphFont"/>
    <w:uiPriority w:val="20"/>
    <w:qFormat/>
    <w:rsid w:val="00D84858"/>
    <w:rPr>
      <w:i/>
      <w:iCs/>
    </w:rPr>
  </w:style>
  <w:style w:type="paragraph" w:styleId="NoSpacing">
    <w:name w:val="No Spacing"/>
    <w:uiPriority w:val="1"/>
    <w:qFormat/>
    <w:rsid w:val="00D84858"/>
    <w:pPr>
      <w:spacing w:after="0" w:line="240" w:lineRule="auto"/>
    </w:pPr>
  </w:style>
  <w:style w:type="paragraph" w:styleId="Quote">
    <w:name w:val="Quote"/>
    <w:basedOn w:val="Normal"/>
    <w:next w:val="Normal"/>
    <w:link w:val="QuoteChar"/>
    <w:uiPriority w:val="29"/>
    <w:qFormat/>
    <w:rsid w:val="00D8485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84858"/>
    <w:rPr>
      <w:i/>
      <w:iCs/>
      <w:color w:val="404040" w:themeColor="text1" w:themeTint="BF"/>
    </w:rPr>
  </w:style>
  <w:style w:type="paragraph" w:styleId="IntenseQuote">
    <w:name w:val="Intense Quote"/>
    <w:basedOn w:val="Normal"/>
    <w:next w:val="Normal"/>
    <w:link w:val="IntenseQuoteChar"/>
    <w:uiPriority w:val="30"/>
    <w:qFormat/>
    <w:rsid w:val="00D8485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8485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84858"/>
    <w:rPr>
      <w:i/>
      <w:iCs/>
      <w:color w:val="404040" w:themeColor="text1" w:themeTint="BF"/>
    </w:rPr>
  </w:style>
  <w:style w:type="character" w:styleId="IntenseEmphasis">
    <w:name w:val="Intense Emphasis"/>
    <w:basedOn w:val="DefaultParagraphFont"/>
    <w:uiPriority w:val="21"/>
    <w:qFormat/>
    <w:rsid w:val="00D84858"/>
    <w:rPr>
      <w:b/>
      <w:bCs/>
      <w:i/>
      <w:iCs/>
    </w:rPr>
  </w:style>
  <w:style w:type="character" w:styleId="SubtleReference">
    <w:name w:val="Subtle Reference"/>
    <w:basedOn w:val="DefaultParagraphFont"/>
    <w:uiPriority w:val="31"/>
    <w:qFormat/>
    <w:rsid w:val="00D8485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84858"/>
    <w:rPr>
      <w:b/>
      <w:bCs/>
      <w:smallCaps/>
      <w:spacing w:val="5"/>
      <w:u w:val="single"/>
    </w:rPr>
  </w:style>
  <w:style w:type="character" w:styleId="BookTitle">
    <w:name w:val="Book Title"/>
    <w:basedOn w:val="DefaultParagraphFont"/>
    <w:uiPriority w:val="33"/>
    <w:qFormat/>
    <w:rsid w:val="00D84858"/>
    <w:rPr>
      <w:b/>
      <w:bCs/>
      <w:smallCaps/>
    </w:rPr>
  </w:style>
  <w:style w:type="paragraph" w:styleId="TOCHeading">
    <w:name w:val="TOC Heading"/>
    <w:basedOn w:val="Heading1"/>
    <w:next w:val="Normal"/>
    <w:uiPriority w:val="39"/>
    <w:semiHidden/>
    <w:unhideWhenUsed/>
    <w:qFormat/>
    <w:rsid w:val="00D84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5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CDD8A.70187A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image002.png@01DCDD8A.70187A7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5F65A76F9F14C9E33A659DC9D9578" ma:contentTypeVersion="18" ma:contentTypeDescription="Create a new document." ma:contentTypeScope="" ma:versionID="649cf2013a02751b862b1a0cfa463888">
  <xsd:schema xmlns:xsd="http://www.w3.org/2001/XMLSchema" xmlns:xs="http://www.w3.org/2001/XMLSchema" xmlns:p="http://schemas.microsoft.com/office/2006/metadata/properties" xmlns:ns2="7b070443-66c6-43e1-84b1-ec87b80f03de" xmlns:ns3="dbe82689-46ff-4b1a-b14c-8e8f60f32ead" targetNamespace="http://schemas.microsoft.com/office/2006/metadata/properties" ma:root="true" ma:fieldsID="7364f29f0e9ae0744039c3052aae8b0e" ns2:_="" ns3:_="">
    <xsd:import namespace="7b070443-66c6-43e1-84b1-ec87b80f03de"/>
    <xsd:import namespace="dbe82689-46ff-4b1a-b14c-8e8f60f32e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443-66c6-43e1-84b1-ec87b80f0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8707be-6dc6-4cc5-bf41-29d7e4cf37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82689-46ff-4b1a-b14c-8e8f60f32e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5dd0bd-77c3-43d5-9844-bf5c1b8be4b8}" ma:internalName="TaxCatchAll" ma:showField="CatchAllData" ma:web="dbe82689-46ff-4b1a-b14c-8e8f60f32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82689-46ff-4b1a-b14c-8e8f60f32ead" xsi:nil="true"/>
    <lcf76f155ced4ddcb4097134ff3c332f xmlns="7b070443-66c6-43e1-84b1-ec87b80f03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ECB5D-593F-4430-90FA-68F73A76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443-66c6-43e1-84b1-ec87b80f03de"/>
    <ds:schemaRef ds:uri="dbe82689-46ff-4b1a-b14c-8e8f60f32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809A7-9EFA-47FF-9E3D-82BDF96779EF}">
  <ds:schemaRefs>
    <ds:schemaRef ds:uri="http://schemas.microsoft.com/sharepoint/v3/contenttype/forms"/>
  </ds:schemaRefs>
</ds:datastoreItem>
</file>

<file path=customXml/itemProps3.xml><?xml version="1.0" encoding="utf-8"?>
<ds:datastoreItem xmlns:ds="http://schemas.openxmlformats.org/officeDocument/2006/customXml" ds:itemID="{C9AED46C-B0B6-401D-B7D3-A5B8367CF407}">
  <ds:schemaRefs>
    <ds:schemaRef ds:uri="http://schemas.microsoft.com/office/2006/metadata/properties"/>
    <ds:schemaRef ds:uri="http://schemas.microsoft.com/office/infopath/2007/PartnerControls"/>
    <ds:schemaRef ds:uri="dbe82689-46ff-4b1a-b14c-8e8f60f32ead"/>
    <ds:schemaRef ds:uri="7b070443-66c6-43e1-84b1-ec87b80f03de"/>
  </ds:schemaRefs>
</ds:datastoreItem>
</file>

<file path=customXml/itemProps4.xml><?xml version="1.0" encoding="utf-8"?>
<ds:datastoreItem xmlns:ds="http://schemas.openxmlformats.org/officeDocument/2006/customXml" ds:itemID="{8FD72D18-23C0-4F4B-B184-2E3D1526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Lynott</dc:creator>
  <cp:keywords/>
  <dc:description/>
  <cp:lastModifiedBy>Dara Lynott</cp:lastModifiedBy>
  <cp:revision>2</cp:revision>
  <cp:lastPrinted>2025-11-12T11:16:00Z</cp:lastPrinted>
  <dcterms:created xsi:type="dcterms:W3CDTF">2026-05-07T08:50:00Z</dcterms:created>
  <dcterms:modified xsi:type="dcterms:W3CDTF">2026-05-07T08:50:00Z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0x010100FD05F65A76F9F14C9E33A659DC9D9578</vt:lpwstr>
  </property>
  <property fmtid="{D5CDD505-2E9C-101B-9397-08002B2CF9AE}" pid="3" name="MediaServiceImageTags">
    <vt:lpwstr/>
  </property>
</Properties>
</file>